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293A69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293A69">
              <w:rPr>
                <w:sz w:val="22"/>
                <w:szCs w:val="22"/>
              </w:rPr>
              <w:t>370809</w:t>
            </w:r>
          </w:p>
        </w:tc>
      </w:tr>
    </w:tbl>
    <w:p w:rsidR="00315B23" w:rsidRPr="00C671E0" w:rsidRDefault="00E74359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13 июня</w:t>
      </w:r>
      <w:r w:rsidR="00293A69">
        <w:rPr>
          <w:sz w:val="22"/>
          <w:szCs w:val="22"/>
        </w:rPr>
        <w:t xml:space="preserve"> 2024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Default="00315B23" w:rsidP="00FB6DCD">
      <w:pPr>
        <w:jc w:val="both"/>
      </w:pPr>
    </w:p>
    <w:p w:rsidR="00923E03" w:rsidRPr="00923E03" w:rsidRDefault="00E74359" w:rsidP="00923E03">
      <w:pPr>
        <w:jc w:val="center"/>
        <w:rPr>
          <w:b/>
          <w:color w:val="000000"/>
        </w:rPr>
      </w:pPr>
      <w:r>
        <w:rPr>
          <w:b/>
          <w:i/>
          <w:color w:val="000000"/>
        </w:rPr>
        <w:t>Осторожно, сальмонеллез!</w:t>
      </w:r>
    </w:p>
    <w:p w:rsidR="00923E03" w:rsidRPr="00923E03" w:rsidRDefault="00923E03" w:rsidP="00923E03">
      <w:pPr>
        <w:autoSpaceDE w:val="0"/>
        <w:autoSpaceDN w:val="0"/>
        <w:adjustRightInd w:val="0"/>
        <w:ind w:firstLine="708"/>
        <w:jc w:val="both"/>
        <w:rPr>
          <w:rFonts w:ascii="Verdana" w:hAnsi="Verdana" w:cs="Courier New"/>
          <w:color w:val="333333"/>
          <w:sz w:val="18"/>
          <w:szCs w:val="18"/>
        </w:rPr>
      </w:pP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 w:rsidRPr="00E74359">
        <w:rPr>
          <w:b/>
          <w:i/>
        </w:rPr>
        <w:t>Какие продукты могут быть опасны</w:t>
      </w:r>
      <w:r>
        <w:t>/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 xml:space="preserve">Сальмонеллез – острая кишечная инфекция, вызываемая бактериями из рода </w:t>
      </w:r>
      <w:r>
        <w:rPr>
          <w:lang w:val="en-US"/>
        </w:rPr>
        <w:t>S</w:t>
      </w:r>
      <w:proofErr w:type="spellStart"/>
      <w:r>
        <w:t>almonella</w:t>
      </w:r>
      <w:proofErr w:type="spellEnd"/>
      <w:r>
        <w:t>. Заражение чаще всего происходит при употреблении в пищу продуктов, содержащих в себе данную бактерию.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В природе носителями возбудителя сальмонеллеза могут быть куры, утки, крупный рогатый скот, свиньи, овцы, а также собаки, кошки, домовые грызуны (мыши, крысы) и дикие животные (лисы, волки, обезьяны).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Самым мощным резервуаром различных типов сальмонелл, в том числе наиболее патогенных для человека, являются птицы. Сальмонеллы обнаруживают не только в мясе и внутренних органах птиц, но и в яйцах. Но обнаружить</w:t>
      </w:r>
      <w:r>
        <w:t xml:space="preserve"> это непросто – зараженная </w:t>
      </w:r>
      <w:r>
        <w:t>продукция не меняет ни запаха, ни цвета, ни вкуса.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Сальмонеллы сохраняют свою жизнеспособность в продуктах при хранении в холодильнике, так как не боятся низких температур. В сыром молоке, в простокваше сальмонеллы живут до 10 дней. В мясе, колбасах, масле – до 2–4 месяцев. В яйце – до 1 года, на скорлупе – 2–3 недели. При варке мяса погибают через 30 минут, в яйце через 10 минут.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Устойчивы к солению, копчению, действию кислот, на поверхности различных предметов и в пыли помещений могут выживать несколько месяцев, полностью сохраняя способность к заражению человека.</w:t>
      </w:r>
    </w:p>
    <w:p w:rsidR="00E74359" w:rsidRPr="00E74359" w:rsidRDefault="00E74359" w:rsidP="00E74359">
      <w:pPr>
        <w:autoSpaceDE w:val="0"/>
        <w:autoSpaceDN w:val="0"/>
        <w:adjustRightInd w:val="0"/>
        <w:ind w:firstLine="426"/>
        <w:jc w:val="both"/>
        <w:rPr>
          <w:b/>
          <w:i/>
        </w:rPr>
      </w:pPr>
      <w:r w:rsidRPr="00E74359">
        <w:rPr>
          <w:b/>
          <w:i/>
        </w:rPr>
        <w:t>Как происходит заражение: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1)</w:t>
      </w:r>
      <w:r>
        <w:t xml:space="preserve"> При неправильной кулинарной обработке продуктов – недостаточном </w:t>
      </w:r>
      <w:proofErr w:type="spellStart"/>
      <w:r>
        <w:t>прожаривании</w:t>
      </w:r>
      <w:proofErr w:type="spellEnd"/>
      <w:r>
        <w:t xml:space="preserve"> мяса, </w:t>
      </w:r>
      <w:proofErr w:type="spellStart"/>
      <w:r>
        <w:t>недоваривании</w:t>
      </w:r>
      <w:proofErr w:type="spellEnd"/>
      <w:r>
        <w:t xml:space="preserve"> яиц.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 xml:space="preserve">Опасны для заражения продукты, не прошедшие достаточную термическую обработку (салаты, роллы, </w:t>
      </w:r>
      <w:proofErr w:type="spellStart"/>
      <w:r>
        <w:t>шаурма</w:t>
      </w:r>
      <w:proofErr w:type="spellEnd"/>
      <w:r>
        <w:t>, различные мясные полуфабрикаты – пельмени, сосиски, вареные колбасы), молочная продукция из частных подворий.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2)</w:t>
      </w:r>
      <w:r>
        <w:t xml:space="preserve"> Из-за нарушения правил гигиены при приготовлении мясных блюд и разделке птицы в домашних условиях: некачественная обработка разделочных досок и ножей, плохое мытье рук после работы.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Бактерии могут попасть с предметов на столе (например, после разделки сырого мяса) на любые другие предметы в кухне и распространиться дальше по квартире. При этом они концентрируются на тех вещах, к которым чаще прикасаются люди: выключатели света, ручки дверей, вентили водопроводных кранов, сливные ручки туалетов, детские кроватки, игрушки. На них следует обращать особое внимание при уборке.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</w:p>
    <w:p w:rsidR="00E74359" w:rsidRPr="00E74359" w:rsidRDefault="00E74359" w:rsidP="00E74359">
      <w:pPr>
        <w:autoSpaceDE w:val="0"/>
        <w:autoSpaceDN w:val="0"/>
        <w:adjustRightInd w:val="0"/>
        <w:ind w:firstLine="426"/>
        <w:jc w:val="both"/>
        <w:rPr>
          <w:b/>
          <w:i/>
        </w:rPr>
      </w:pPr>
      <w:r w:rsidRPr="00E74359">
        <w:rPr>
          <w:b/>
          <w:i/>
        </w:rPr>
        <w:t>Как проявляется заболевание?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Клинические проявления сальмонеллеза могут быть различными, от бессимптомного носительства до тяжелых форм со смертельным исходом. С момента заражения до начала развития симптомов может пройти от 2–6 часов до 2–3 дней. Повышается температура, появляется слабость, головная боль, возникает боль в животе с тяжелым расстройством кишечника.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У большинства людей, переболевших сальмонеллезом, возникает дисбактериоз кишечника, тормозящий окончательное выздоровление, а иногда и сопровождающий человека многие годы.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 xml:space="preserve">Сальмонеллезом можно заболеть в любом возрасте, но наиболее часто заболевают дети первых двух лет жизни. Для них основным источником инфекции являются больные взрослые (с клиническими проявлениями или бессимптомные </w:t>
      </w:r>
      <w:proofErr w:type="spellStart"/>
      <w:r>
        <w:t>бактерионосители</w:t>
      </w:r>
      <w:proofErr w:type="spellEnd"/>
      <w:r>
        <w:t>). Заражение малыша происходит через руки матери и других людей, ухаживающих за ним.</w:t>
      </w:r>
    </w:p>
    <w:p w:rsidR="00E74359" w:rsidRPr="00E74359" w:rsidRDefault="00E74359" w:rsidP="00E74359">
      <w:pPr>
        <w:autoSpaceDE w:val="0"/>
        <w:autoSpaceDN w:val="0"/>
        <w:adjustRightInd w:val="0"/>
        <w:ind w:firstLine="426"/>
        <w:jc w:val="both"/>
        <w:rPr>
          <w:b/>
          <w:i/>
        </w:rPr>
      </w:pPr>
      <w:r w:rsidRPr="00E74359">
        <w:rPr>
          <w:b/>
          <w:i/>
        </w:rPr>
        <w:t>Чтобы не заболеть сальмонеллезом: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1. Тщательно проваривайте или прожаривайте блюда из мяса, птицы, фарша.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2. На кухне для разделки сырого мяса необходимо иметь отдельный нож и разделочную доску. Ни в коем случае не используйте их же для нарезания готовых продуктов (колбас, овощей, хлеба). После окончания работы доску и нож нужно тщательно промыть с использованием моющих средств.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3. Сырые продукты храните отдельно от готовых (колбаса, масло и т. п.). Для этого используйте контейнеры, целлофановые пакеты, которые помогут изолировать продукты друг от друга. Не допускайте соприкосновения сырых и готовых изделий.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4. Куриные яйца употребляйте только хорошо проваренными или прожаренными. Перед приготовлением тщательно вымойте скорлупу.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5. Не рекомендуется есть яйца всмятку, яичницу глазунью (особенно детям).</w:t>
      </w:r>
    </w:p>
    <w:p w:rsidR="00E74359" w:rsidRDefault="00E74359" w:rsidP="00E74359">
      <w:pPr>
        <w:autoSpaceDE w:val="0"/>
        <w:autoSpaceDN w:val="0"/>
        <w:adjustRightInd w:val="0"/>
        <w:ind w:firstLine="426"/>
        <w:jc w:val="both"/>
      </w:pPr>
      <w:r>
        <w:t>6. Очень важно следить за гигиеной: перед едой всегда мойте руки с мылом.</w:t>
      </w:r>
    </w:p>
    <w:p w:rsidR="00923E03" w:rsidRPr="00923E03" w:rsidRDefault="00E74359" w:rsidP="00E7435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>Помните, что специ</w:t>
      </w:r>
      <w:bookmarkStart w:id="0" w:name="_GoBack"/>
      <w:bookmarkEnd w:id="0"/>
      <w:r>
        <w:t>фической профилактики сальмонеллеза у человека не существует. Поэтому единственный способ обезопасить себя – быть бдительным. Берегите здоровье, осмотрительно подходите к питанию и тщательно следите за гигиеной.</w:t>
      </w:r>
    </w:p>
    <w:p w:rsidR="00D45965" w:rsidRDefault="00D45965" w:rsidP="00923E03">
      <w:pPr>
        <w:jc w:val="center"/>
      </w:pPr>
    </w:p>
    <w:p w:rsidR="00E74359" w:rsidRPr="00D45965" w:rsidRDefault="00E74359" w:rsidP="00E74359">
      <w:pPr>
        <w:jc w:val="both"/>
      </w:pPr>
      <w:r>
        <w:t xml:space="preserve">Источник: </w:t>
      </w:r>
      <w:r w:rsidRPr="00E74359">
        <w:t>https://здоровое-питание.рф/healthy-nutrition/articles/ostorozhno-salmonellez/?sphrase_id=110665</w:t>
      </w:r>
    </w:p>
    <w:sectPr w:rsidR="00E74359" w:rsidRPr="00D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079CF"/>
    <w:multiLevelType w:val="hybridMultilevel"/>
    <w:tmpl w:val="566E3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1E06B3"/>
    <w:rsid w:val="00265D5E"/>
    <w:rsid w:val="00293A69"/>
    <w:rsid w:val="00315B23"/>
    <w:rsid w:val="0033021D"/>
    <w:rsid w:val="004433B0"/>
    <w:rsid w:val="00602C3D"/>
    <w:rsid w:val="00665806"/>
    <w:rsid w:val="006D1DD3"/>
    <w:rsid w:val="00923E03"/>
    <w:rsid w:val="009F3155"/>
    <w:rsid w:val="00AC25B2"/>
    <w:rsid w:val="00AC3E02"/>
    <w:rsid w:val="00B6384D"/>
    <w:rsid w:val="00B96CFC"/>
    <w:rsid w:val="00C23E78"/>
    <w:rsid w:val="00C671E0"/>
    <w:rsid w:val="00D35E31"/>
    <w:rsid w:val="00D40CF3"/>
    <w:rsid w:val="00D45965"/>
    <w:rsid w:val="00DF37EA"/>
    <w:rsid w:val="00E74359"/>
    <w:rsid w:val="00F62C39"/>
    <w:rsid w:val="00FB6DCD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B74A9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293A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8BBF-F6D8-4924-8EB4-A8D8CC3F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3</cp:revision>
  <cp:lastPrinted>2024-06-13T10:28:00Z</cp:lastPrinted>
  <dcterms:created xsi:type="dcterms:W3CDTF">2024-06-13T10:16:00Z</dcterms:created>
  <dcterms:modified xsi:type="dcterms:W3CDTF">2024-06-13T10:28:00Z</dcterms:modified>
</cp:coreProperties>
</file>